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overflowPunct w:val="0"/>
        <w:autoSpaceDE w:val="0"/>
        <w:autoSpaceDN w:val="0"/>
        <w:snapToGrid/>
        <w:spacing w:line="240" w:lineRule="auto"/>
        <w:ind w:firstLine="482" w:firstLineChars="0"/>
        <w:jc w:val="center"/>
        <w:rPr>
          <w:rFonts w:hint="default" w:ascii="Times New Roman" w:hAnsi="Times New Roman" w:eastAsia="宋体" w:cs="Times New Roman"/>
          <w:b/>
          <w:bCs/>
          <w:szCs w:val="22"/>
          <w:lang w:eastAsia="zh-CN"/>
        </w:rPr>
      </w:pPr>
      <w:r>
        <w:rPr>
          <w:rFonts w:hint="eastAsia" w:ascii="Times New Roman" w:hAnsi="Times New Roman" w:cs="Times New Roman"/>
          <w:b/>
          <w:bCs/>
          <w:szCs w:val="22"/>
          <w:lang w:eastAsia="zh-CN"/>
        </w:rPr>
        <w:t>附表</w:t>
      </w:r>
      <w:r>
        <w:rPr>
          <w:rFonts w:hint="eastAsia" w:ascii="Times New Roman" w:hAnsi="Times New Roman" w:cs="Times New Roman"/>
          <w:b/>
          <w:bCs/>
          <w:szCs w:val="22"/>
          <w:lang w:val="en-US" w:eastAsia="zh-CN"/>
        </w:rPr>
        <w:t xml:space="preserve">3  </w:t>
      </w:r>
      <w:r>
        <w:rPr>
          <w:rFonts w:hint="default" w:ascii="Times New Roman" w:hAnsi="Times New Roman" w:eastAsia="宋体" w:cs="Times New Roman"/>
          <w:b/>
          <w:bCs/>
          <w:szCs w:val="22"/>
          <w:lang w:eastAsia="zh-CN"/>
        </w:rPr>
        <w:t>建设项目大气环境影响评价自查表</w:t>
      </w:r>
    </w:p>
    <w:tbl>
      <w:tblPr>
        <w:tblStyle w:val="7"/>
        <w:tblW w:w="10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9"/>
        <w:gridCol w:w="1959"/>
        <w:gridCol w:w="1131"/>
        <w:gridCol w:w="140"/>
        <w:gridCol w:w="295"/>
        <w:gridCol w:w="264"/>
        <w:gridCol w:w="311"/>
        <w:gridCol w:w="137"/>
        <w:gridCol w:w="568"/>
        <w:gridCol w:w="93"/>
        <w:gridCol w:w="310"/>
        <w:gridCol w:w="134"/>
        <w:gridCol w:w="127"/>
        <w:gridCol w:w="605"/>
        <w:gridCol w:w="484"/>
        <w:gridCol w:w="211"/>
        <w:gridCol w:w="555"/>
        <w:gridCol w:w="104"/>
        <w:gridCol w:w="82"/>
        <w:gridCol w:w="470"/>
        <w:gridCol w:w="1"/>
        <w:gridCol w:w="565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309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工作内容</w:t>
            </w:r>
          </w:p>
        </w:tc>
        <w:tc>
          <w:tcPr>
            <w:tcW w:w="7424" w:type="dxa"/>
            <w:gridSpan w:val="2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评价等级与范围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评价等级</w:t>
            </w:r>
          </w:p>
        </w:tc>
        <w:tc>
          <w:tcPr>
            <w:tcW w:w="293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一级□</w:t>
            </w:r>
          </w:p>
        </w:tc>
        <w:tc>
          <w:tcPr>
            <w:tcW w:w="261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二级□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三级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评价范围</w:t>
            </w:r>
          </w:p>
        </w:tc>
        <w:tc>
          <w:tcPr>
            <w:tcW w:w="293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边长=50km□</w:t>
            </w:r>
          </w:p>
        </w:tc>
        <w:tc>
          <w:tcPr>
            <w:tcW w:w="261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边长5～50km□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边长=5km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评价因子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+NO</w:t>
            </w:r>
            <w:r>
              <w:rPr>
                <w:rFonts w:hint="default" w:ascii="Times New Roman" w:hAnsi="Times New Roman" w:eastAsia="宋体" w:cs="Times New Roman"/>
                <w:i/>
                <w:color w:val="000000"/>
                <w:sz w:val="21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排放量</w:t>
            </w:r>
          </w:p>
        </w:tc>
        <w:tc>
          <w:tcPr>
            <w:tcW w:w="156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≥2000t/a□</w:t>
            </w:r>
          </w:p>
        </w:tc>
        <w:tc>
          <w:tcPr>
            <w:tcW w:w="398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500~2000t/a□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＜500t/a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评价因子</w:t>
            </w:r>
          </w:p>
        </w:tc>
        <w:tc>
          <w:tcPr>
            <w:tcW w:w="411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基本污染物(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)</w:t>
            </w:r>
          </w:p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其他污染物(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ind w:right="392" w:rightChars="196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包括二次PM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2.5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  <w:p>
            <w:pPr>
              <w:pStyle w:val="6"/>
              <w:snapToGrid w:val="0"/>
              <w:spacing w:before="0" w:beforeLines="0" w:after="0" w:afterLines="0" w:line="300" w:lineRule="atLeast"/>
              <w:ind w:right="392" w:rightChars="196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不包括二次PM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评价标准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评价标准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国家标准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83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地方标准□</w:t>
            </w:r>
          </w:p>
        </w:tc>
        <w:tc>
          <w:tcPr>
            <w:tcW w:w="190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附录D□</w:t>
            </w:r>
          </w:p>
        </w:tc>
        <w:tc>
          <w:tcPr>
            <w:tcW w:w="14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其他标准□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现状评价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环境功能区</w:t>
            </w:r>
          </w:p>
        </w:tc>
        <w:tc>
          <w:tcPr>
            <w:tcW w:w="293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一类区□</w:t>
            </w:r>
          </w:p>
        </w:tc>
        <w:tc>
          <w:tcPr>
            <w:tcW w:w="2530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二类区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☑</w:t>
            </w:r>
          </w:p>
        </w:tc>
        <w:tc>
          <w:tcPr>
            <w:tcW w:w="195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一类区和二类区□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评价基准年</w:t>
            </w:r>
          </w:p>
        </w:tc>
        <w:tc>
          <w:tcPr>
            <w:tcW w:w="7424" w:type="dxa"/>
            <w:gridSpan w:val="2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201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环境空气质量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现状调查数据来源</w:t>
            </w:r>
          </w:p>
        </w:tc>
        <w:tc>
          <w:tcPr>
            <w:tcW w:w="293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长期例行监测数据□</w:t>
            </w:r>
          </w:p>
        </w:tc>
        <w:tc>
          <w:tcPr>
            <w:tcW w:w="261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主管部门发布的数据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☑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现状补充监测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现状评价</w:t>
            </w:r>
          </w:p>
        </w:tc>
        <w:tc>
          <w:tcPr>
            <w:tcW w:w="411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达标区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不达标区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调查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调查内容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本项目正常排放源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  <w:p>
            <w:pPr>
              <w:pStyle w:val="6"/>
              <w:snapToGrid w:val="0"/>
              <w:spacing w:before="0" w:beforeLines="0" w:after="0" w:afterLines="0" w:line="300" w:lineRule="atLeast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本项目非正常排放源□</w:t>
            </w:r>
          </w:p>
          <w:p>
            <w:pPr>
              <w:pStyle w:val="6"/>
              <w:snapToGrid w:val="0"/>
              <w:spacing w:before="0" w:beforeLines="0" w:after="0" w:afterLines="0" w:line="300" w:lineRule="atLeast"/>
              <w:jc w:val="right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现有污染源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83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拟替代的污染源□</w:t>
            </w:r>
          </w:p>
        </w:tc>
        <w:tc>
          <w:tcPr>
            <w:tcW w:w="190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其他在建、拟建项目污染源□</w:t>
            </w:r>
          </w:p>
        </w:tc>
        <w:tc>
          <w:tcPr>
            <w:tcW w:w="140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区域污染源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大气环境影响预测与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预测模型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AERMOD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10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ADMS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124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AUSTAL2000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121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EDMS/AEDT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9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CALPUFF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103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网格模型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  <w:tc>
          <w:tcPr>
            <w:tcW w:w="8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其他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预测范围</w:t>
            </w:r>
          </w:p>
        </w:tc>
        <w:tc>
          <w:tcPr>
            <w:tcW w:w="214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边长≥50km□</w:t>
            </w:r>
          </w:p>
        </w:tc>
        <w:tc>
          <w:tcPr>
            <w:tcW w:w="341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边长5～50km□</w:t>
            </w:r>
          </w:p>
        </w:tc>
        <w:tc>
          <w:tcPr>
            <w:tcW w:w="187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边长=5km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预测因子</w:t>
            </w:r>
          </w:p>
        </w:tc>
        <w:tc>
          <w:tcPr>
            <w:tcW w:w="411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预测因子(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ind w:right="526" w:rightChars="263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包括二次PM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2.5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  <w:p>
            <w:pPr>
              <w:pStyle w:val="6"/>
              <w:snapToGrid w:val="0"/>
              <w:spacing w:before="0" w:beforeLines="0" w:after="0" w:afterLines="0" w:line="300" w:lineRule="atLeast"/>
              <w:ind w:right="526" w:rightChars="263"/>
              <w:jc w:val="righ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不包括二次PM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2.5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正常排放短期浓度贡献值</w:t>
            </w:r>
          </w:p>
        </w:tc>
        <w:tc>
          <w:tcPr>
            <w:tcW w:w="411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最大占标率≤100%□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最大占标率＞100%□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正常排放年均浓度贡献值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一类区</w:t>
            </w:r>
          </w:p>
        </w:tc>
        <w:tc>
          <w:tcPr>
            <w:tcW w:w="2984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31" w:after="31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最大占标率</w:t>
            </w:r>
            <w:bookmarkStart w:id="0" w:name="OLE_LINK5"/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≤</w:t>
            </w:r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10%□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最大标率＞10%□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二类区</w:t>
            </w:r>
          </w:p>
        </w:tc>
        <w:tc>
          <w:tcPr>
            <w:tcW w:w="2984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最大占标率≤30%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30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本项目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最大标率＞30%□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非正常排放1h浓度贡献值</w:t>
            </w:r>
          </w:p>
        </w:tc>
        <w:tc>
          <w:tcPr>
            <w:tcW w:w="18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非正常持续时长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（）h</w:t>
            </w:r>
          </w:p>
        </w:tc>
        <w:tc>
          <w:tcPr>
            <w:tcW w:w="2980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31" w:after="31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非正常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占标率≤100%□</w:t>
            </w:r>
          </w:p>
        </w:tc>
        <w:tc>
          <w:tcPr>
            <w:tcW w:w="2614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非正常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占标率＞100%□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保证率日平均浓度和年平均浓度叠加值</w:t>
            </w:r>
          </w:p>
        </w:tc>
        <w:tc>
          <w:tcPr>
            <w:tcW w:w="3510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叠加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达标□</w:t>
            </w:r>
          </w:p>
        </w:tc>
        <w:tc>
          <w:tcPr>
            <w:tcW w:w="391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color w:val="000000"/>
                      <w:szCs w:val="22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/>
                      <w:szCs w:val="22"/>
                    </w:rPr>
                    <m:t>叠加</m:t>
                  </m:r>
                  <m:ctrlPr>
                    <w:rPr>
                      <w:rFonts w:hint="default" w:ascii="Cambria Math" w:hAnsi="Cambria Math"/>
                      <w:i/>
                      <w:color w:val="000000"/>
                      <w:szCs w:val="22"/>
                    </w:rPr>
                  </m:ctrlPr>
                </m:sub>
              </m:sSub>
            </m:oMath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区域环境质量的整体变化情况</w:t>
            </w:r>
          </w:p>
        </w:tc>
        <w:tc>
          <w:tcPr>
            <w:tcW w:w="3510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000000"/>
                <w:sz w:val="21"/>
                <w:szCs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≤-20%□</w:t>
            </w:r>
          </w:p>
        </w:tc>
        <w:tc>
          <w:tcPr>
            <w:tcW w:w="391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000000"/>
                <w:sz w:val="21"/>
                <w:szCs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＞-20%□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环境监测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计划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污染源监测</w:t>
            </w:r>
          </w:p>
        </w:tc>
        <w:tc>
          <w:tcPr>
            <w:tcW w:w="324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监测因子：（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77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有组织废气监测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无组织废气监测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4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环境质量监测</w:t>
            </w:r>
          </w:p>
        </w:tc>
        <w:tc>
          <w:tcPr>
            <w:tcW w:w="3249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监测因子：（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772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监测点位数（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40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评价结论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环境影响</w:t>
            </w:r>
          </w:p>
        </w:tc>
        <w:tc>
          <w:tcPr>
            <w:tcW w:w="7424" w:type="dxa"/>
            <w:gridSpan w:val="2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可以接受</w:t>
            </w:r>
            <w:bookmarkStart w:id="1" w:name="_GoBack"/>
            <w:bookmarkEnd w:id="1"/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不可以接受□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大气环境防护距离</w:t>
            </w:r>
          </w:p>
        </w:tc>
        <w:tc>
          <w:tcPr>
            <w:tcW w:w="7424" w:type="dxa"/>
            <w:gridSpan w:val="2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距（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）厂界最远（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1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污染源年排放量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:（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）t/a</w:t>
            </w:r>
          </w:p>
        </w:tc>
        <w:tc>
          <w:tcPr>
            <w:tcW w:w="157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:（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）t/a</w:t>
            </w:r>
          </w:p>
        </w:tc>
        <w:tc>
          <w:tcPr>
            <w:tcW w:w="251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颗粒物:（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0）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t/a</w:t>
            </w:r>
          </w:p>
        </w:tc>
        <w:tc>
          <w:tcPr>
            <w:tcW w:w="205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VOC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:（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）t/a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0522" w:type="dxa"/>
            <w:gridSpan w:val="2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="0" w:afterLines="0" w:line="300" w:lineRule="atLeast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注：“□”为勾选项，填“√”；“（）”为内容填写项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A2130"/>
    <w:rsid w:val="25EC4DE2"/>
    <w:rsid w:val="274A3253"/>
    <w:rsid w:val="31CF5BC6"/>
    <w:rsid w:val="3FFA4117"/>
    <w:rsid w:val="41BA2130"/>
    <w:rsid w:val="47774D8E"/>
    <w:rsid w:val="5BDE21BF"/>
    <w:rsid w:val="65F47A63"/>
    <w:rsid w:val="6C9C643F"/>
    <w:rsid w:val="6D2C1571"/>
    <w:rsid w:val="7352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paragraph" w:styleId="3">
    <w:name w:val="Body Text First Indent"/>
    <w:basedOn w:val="2"/>
    <w:unhideWhenUsed/>
    <w:qFormat/>
    <w:uiPriority w:val="99"/>
    <w:pPr>
      <w:adjustRightInd w:val="0"/>
      <w:snapToGrid w:val="0"/>
      <w:spacing w:line="360" w:lineRule="auto"/>
      <w:ind w:firstLine="200" w:firstLineChars="200"/>
    </w:pPr>
    <w:rPr>
      <w:sz w:val="24"/>
    </w:rPr>
  </w:style>
  <w:style w:type="paragraph" w:customStyle="1" w:styleId="6">
    <w:name w:val="表格文字"/>
    <w:basedOn w:val="3"/>
    <w:qFormat/>
    <w:uiPriority w:val="0"/>
    <w:pPr>
      <w:spacing w:line="240" w:lineRule="auto"/>
      <w:ind w:firstLine="0" w:firstLineChars="0"/>
      <w:jc w:val="center"/>
    </w:pPr>
    <w:rPr>
      <w:sz w:val="21"/>
    </w:rPr>
  </w:style>
  <w:style w:type="table" w:customStyle="1" w:styleId="7">
    <w:name w:val="网格型1"/>
    <w:basedOn w:val="4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2019-02-25T02:25:00Z</dcterms:created>
  <dc:creator>小伍呀</dc:creator>
  <cp:lastModifiedBy>Administrator</cp:lastModifiedBy>
  <dcterms:modified xsi:type="dcterms:W3CDTF">2020-07-09T07:05:58Z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